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4F15DF" w:rsidP="001813C6">
      <w:pPr>
        <w:pStyle w:val="1"/>
      </w:pPr>
      <w:r>
        <w:t>Мыльников В</w:t>
      </w:r>
      <w:bookmarkStart w:id="0" w:name="_GoBack"/>
      <w:bookmarkEnd w:id="0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E124DA" w:rsidP="004E5BFD">
            <w:pPr>
              <w:spacing w:line="3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4DA">
              <w:rPr>
                <w:rFonts w:ascii="Times New Roman" w:hAnsi="Times New Roman" w:cs="Times New Roman"/>
                <w:sz w:val="24"/>
                <w:szCs w:val="24"/>
              </w:rPr>
              <w:t>(1)Кто из нас в детстве не мечтал стать отважным путешественником, чтобы, ступив на неизведанные земли, рассказать затем соотечественникам об открытых таинственных племенах и о своих удивительных, полных романтики и риска приключениях! (2)Путешественник – первооткрыватель, это своеобразный «</w:t>
            </w:r>
            <w:proofErr w:type="spellStart"/>
            <w:r w:rsidRPr="00E124DA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E124DA">
              <w:rPr>
                <w:rFonts w:ascii="Times New Roman" w:hAnsi="Times New Roman" w:cs="Times New Roman"/>
                <w:sz w:val="24"/>
                <w:szCs w:val="24"/>
              </w:rPr>
              <w:t>» (если пользоваться терминологией Стругацких). (3)Популяризируя новые маршруты, под иным углом показывая старые, он прокладывает путь своим соотечественникам. (4)Это внешняя сторона</w:t>
            </w:r>
            <w:proofErr w:type="gramEnd"/>
            <w:r w:rsidRPr="00E124DA">
              <w:rPr>
                <w:rFonts w:ascii="Times New Roman" w:hAnsi="Times New Roman" w:cs="Times New Roman"/>
                <w:sz w:val="24"/>
                <w:szCs w:val="24"/>
              </w:rPr>
              <w:t>. (5)Только спустя много лет я уяснил для себя совершенно определённо: путешествие – это не только романтика, но и тяжёлое испытание не столько сил, сколько духа.</w:t>
            </w:r>
          </w:p>
        </w:tc>
      </w:tr>
    </w:tbl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Укажите варианты ответов, в которых дано верное утверждение. Запишите номера ответов.</w:t>
      </w:r>
    </w:p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1) Предложение 1 содержит 3 (три) грамматические основы.</w:t>
      </w:r>
    </w:p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2) В предложении 2 грамматическая основа – первооткрыватель.</w:t>
      </w:r>
    </w:p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3) Предложение 3 осложнено однородными обособленными обстоятельствами.</w:t>
      </w:r>
    </w:p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4) Предложение 4 простое.</w:t>
      </w:r>
    </w:p>
    <w:p w:rsidR="00CC5848" w:rsidRPr="005A07F8" w:rsidRDefault="00E124DA" w:rsidP="00E124D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5) Предложение 5 сложное бессоюзное.</w:t>
      </w:r>
      <w:r w:rsidR="00CC5848"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="00CC5848"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анализ. 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должны стоять запятые. (Цифры расположите в порядке возрастания)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C48" w:rsidRPr="00E124DA" w:rsidRDefault="00E124DA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Ясная Поляна (1) чудесное место. Оказавшись в этом уютном уголке (2) расположенном всего лишь в 200 км от столицы (3) и в 10 минутах езды от Тулы (4) ощущаешь себя на краю земли. Природа поражает своей красотой (5) и время здесь словно останавливается. Берёзовая аллея (6) яблоневые сады (7) парки (8) и пруды настраивают на творческий лад. Неудивительно (9) что в этих местах творил гениальный писатель Л.Н. Толстой</w:t>
      </w:r>
      <w:proofErr w:type="gramStart"/>
      <w:r w:rsidRPr="00E12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F2C48" w:rsidRPr="00E12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5A07F8" w:rsidRDefault="00CC58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211E" w:rsidRPr="0070211E" w:rsidRDefault="00E124DA" w:rsidP="005F2C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124DA">
        <w:rPr>
          <w:rFonts w:ascii="Times New Roman" w:eastAsia="Times New Roman" w:hAnsi="Times New Roman" w:cs="Times New Roman"/>
          <w:color w:val="000000"/>
          <w:sz w:val="24"/>
          <w:szCs w:val="24"/>
        </w:rPr>
        <w:t>амените словосочетание «металлическая решётка», построенное на основе согласования, синонимичным словосочетанием со связью управление. Напишите получившееся словосочетание.</w:t>
      </w:r>
      <w:r w:rsidR="005F2C48" w:rsidRPr="005F2C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5BFD"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11E"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E124DA" w:rsidRPr="00E124DA" w:rsidRDefault="00E124DA" w:rsidP="00E124D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>ИСПЕЧЬ – на конце неопределённой формы глагола после шипящих пишется буква Ь.</w:t>
      </w:r>
    </w:p>
    <w:p w:rsidR="00E124DA" w:rsidRPr="00E124DA" w:rsidRDefault="00E124DA" w:rsidP="00E124D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>ЧЬИ-ТО (следы) – буква Ь обозначает мягкость предыдущего согласного.</w:t>
      </w:r>
    </w:p>
    <w:p w:rsidR="00E124DA" w:rsidRPr="00E124DA" w:rsidRDefault="00E124DA" w:rsidP="00E124D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ИЗВЕСТНЫЙ</w:t>
      </w:r>
      <w:proofErr w:type="gramEnd"/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непроизносимая согласная в корне слова проверяется словом известен.</w:t>
      </w:r>
    </w:p>
    <w:p w:rsidR="00E124DA" w:rsidRPr="00E124DA" w:rsidRDefault="00E124DA" w:rsidP="00E124D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ДОСРОЧНО – в наречии написание суффикса зависит от ударения.</w:t>
      </w:r>
    </w:p>
    <w:p w:rsidR="00CC5848" w:rsidRPr="005A07F8" w:rsidRDefault="00E124DA" w:rsidP="00E124D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>ПРЕГРАЖДАТЬ – написание приставки определяется её значением, близким к слову очень.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099B"/>
    <w:rsid w:val="001813C6"/>
    <w:rsid w:val="00214F6F"/>
    <w:rsid w:val="00454CA3"/>
    <w:rsid w:val="004E5BFD"/>
    <w:rsid w:val="004F15DF"/>
    <w:rsid w:val="005A07F8"/>
    <w:rsid w:val="005F2C48"/>
    <w:rsid w:val="0070211E"/>
    <w:rsid w:val="00843F8E"/>
    <w:rsid w:val="008B767B"/>
    <w:rsid w:val="00A9381E"/>
    <w:rsid w:val="00B507F9"/>
    <w:rsid w:val="00CA233B"/>
    <w:rsid w:val="00CC5848"/>
    <w:rsid w:val="00D40858"/>
    <w:rsid w:val="00E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2</cp:revision>
  <dcterms:created xsi:type="dcterms:W3CDTF">2020-05-11T10:27:00Z</dcterms:created>
  <dcterms:modified xsi:type="dcterms:W3CDTF">2020-05-11T10:27:00Z</dcterms:modified>
</cp:coreProperties>
</file>